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8D" w:rsidRPr="00877E8D" w:rsidRDefault="00877E8D" w:rsidP="00877E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ЛЕГАЛИЗАЦИЯ ДЕЯТЕЛЬНОСТИ РЫНКОВ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налоговая служба во исполнение поручений Президента Российской Федерации В. Путина от 23.02.2019 № Пр-280 и от 04.11.2020 № Пр-1799 на всей территории Российской Федерации приступила к реализации масштабного проекта по легализации деятельности рынков.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реализации данного отраслевого проекта в отношении субъектов предпринимательской деятельности, является побуждение повсеместного применения ими в установленных законом случаях ККТ, увеличение выручки, фиксируемой с применением ККТ, и как следствие повышение роста доходов бюджета за счёт сокращения теневого оборота рынка и создания равных, конкурентных условий ведения бизнеса.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Задача</w:t>
      </w:r>
      <w:proofErr w:type="gramStart"/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оздание</w:t>
      </w:r>
      <w:proofErr w:type="spellEnd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благоприятной конкурентной среды ведения бизнеса для добросовестных участников рынка.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призван выработать механизмы и предложения, которые позволят вывести индивидуальных предпринимателей из теневого сектора.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налогового контроля направлены </w:t>
      </w: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побуждение к повсеместному применению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установленных законом случаях </w:t>
      </w: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контрольно-кассовой техники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увеличение налоговых поступлений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 проведения контрольных мероприятий в отношении недобросовестных налогоплательщиков.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конечном итоге реализация данного проекта будет способствовать созданию благоприятной конкурентной среды ведения бизнеса для добросовестных участников рынка.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Риски не применения налогоплательщиками ККТ:</w:t>
      </w:r>
    </w:p>
    <w:p w:rsidR="00877E8D" w:rsidRPr="00877E8D" w:rsidRDefault="00877E8D" w:rsidP="00877E8D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не применения ККТ имеется большая вероятность выхода на проверку, поскольку проверки проводится на основе </w:t>
      </w:r>
      <w:proofErr w:type="spellStart"/>
      <w:proofErr w:type="gramStart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риск-ориентированного</w:t>
      </w:r>
      <w:proofErr w:type="spellEnd"/>
      <w:proofErr w:type="gramEnd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подхода;</w:t>
      </w:r>
    </w:p>
    <w:p w:rsidR="00877E8D" w:rsidRPr="00877E8D" w:rsidRDefault="00877E8D" w:rsidP="00877E8D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возможность получения лицензии на реализацию алкогольной продукции в местах общественного питания;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осуществлении контроля и надзора, в зависимости от субъекта предпринимательства и особенностей осуществления деятельности проводятся следующие мероприятия: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проводится (в том числе с помощью автоматизированной информационной системы) мониторинг расчетов с применением контрольно-кассовой техники и полноты учета выручки, проводится анализ данных;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осуществляется наблюдение за применением контрольно-кассовой техники;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проводятся проверки применения контрольно-кассовой техники, полноты учета выручки в организациях и у индивидуальных предпринимателей;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проводятся проверки оформления и выдачи (направления) кассовых чеков, бланков строгой отчетности, </w:t>
      </w: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том числе путем приобретения товаров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(работ, услуг), </w:t>
      </w: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оплаты этих товаров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(работ, услуг), совершения платежей (получения выплат) с использованием наличных денег и (или) в безналичном порядке, - </w:t>
      </w: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контрольные закупки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распространены нарушения законодательства о применении контрольно-кассовой техники, в том числе и в сфере оказания услуг общественного питания такие как: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- невыдача чека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неприменение ККТ;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- выдача чека с некорректными реквизитами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 чеке не указаны или неверно указаны дата, время и место (адрес) осуществления расчета; наименование организации или Ф.И.О. предпринимателя; применяемая при расчете система налогообложения; наименование товара; форма расчета (оплата наличными деньгами и (или) в безналичном порядке); отсутствуют или не верно указаны Ф.И.О. лица осуществившего расчет).</w:t>
      </w:r>
      <w:proofErr w:type="gramEnd"/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Следует учитывать, что за нарушение законодательства Российской Федерации о применении ККТ статьей 14.5 Кодекса Российской Федерации об административных правонарушениях (далее – </w:t>
      </w:r>
      <w:proofErr w:type="spellStart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КоАП</w:t>
      </w:r>
      <w:proofErr w:type="spellEnd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РФ) предусмотрена административная ответственность.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давности привлечения к ответственности за правонарушения, связанные с применением ККТ, составляет один год, а срок начинает исчисляться со дня совершения правонарушения.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Так за неприменение ККТ в установленных </w:t>
      </w:r>
      <w:hyperlink r:id="rId5" w:history="1">
        <w:r w:rsidRPr="00877E8D">
          <w:rPr>
            <w:rFonts w:ascii="Arial" w:eastAsia="Times New Roman" w:hAnsi="Arial" w:cs="Arial"/>
            <w:b/>
            <w:bCs/>
            <w:color w:val="474747"/>
            <w:sz w:val="21"/>
            <w:u w:val="single"/>
            <w:lang w:eastAsia="ru-RU"/>
          </w:rPr>
          <w:t>законодательством</w:t>
        </w:r>
      </w:hyperlink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РФ случаях влечет наложение штрафа (</w:t>
      </w:r>
      <w:hyperlink r:id="rId6" w:history="1">
        <w:proofErr w:type="gramStart"/>
        <w:r w:rsidRPr="00877E8D">
          <w:rPr>
            <w:rFonts w:ascii="Arial" w:eastAsia="Times New Roman" w:hAnsi="Arial" w:cs="Arial"/>
            <w:b/>
            <w:bCs/>
            <w:color w:val="474747"/>
            <w:sz w:val="21"/>
            <w:u w:val="single"/>
            <w:lang w:eastAsia="ru-RU"/>
          </w:rPr>
          <w:t>ч</w:t>
        </w:r>
        <w:proofErr w:type="gramEnd"/>
        <w:r w:rsidRPr="00877E8D">
          <w:rPr>
            <w:rFonts w:ascii="Arial" w:eastAsia="Times New Roman" w:hAnsi="Arial" w:cs="Arial"/>
            <w:b/>
            <w:bCs/>
            <w:color w:val="474747"/>
            <w:sz w:val="21"/>
            <w:u w:val="single"/>
            <w:lang w:eastAsia="ru-RU"/>
          </w:rPr>
          <w:t>. 2 ст. 14.5</w:t>
        </w:r>
      </w:hyperlink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proofErr w:type="spellStart"/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КоАП</w:t>
      </w:r>
      <w:proofErr w:type="spellEnd"/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РФ):</w:t>
      </w:r>
    </w:p>
    <w:p w:rsidR="00877E8D" w:rsidRPr="00877E8D" w:rsidRDefault="00877E8D" w:rsidP="00877E8D">
      <w:pPr>
        <w:numPr>
          <w:ilvl w:val="0"/>
          <w:numId w:val="2"/>
        </w:numPr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должностных лиц </w:t>
      </w:r>
      <w:hyperlink r:id="rId7" w:history="1">
        <w:r w:rsidRPr="00877E8D">
          <w:rPr>
            <w:rFonts w:ascii="Arial" w:eastAsia="Times New Roman" w:hAnsi="Arial" w:cs="Arial"/>
            <w:color w:val="474747"/>
            <w:sz w:val="21"/>
            <w:lang w:eastAsia="ru-RU"/>
          </w:rPr>
          <w:t>(ИП)</w:t>
        </w:r>
      </w:hyperlink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 размере от 1/4 до 1/2 суммы расчета произведенного без применения ККТ, но не менее 10 000 руб.;</w:t>
      </w:r>
    </w:p>
    <w:p w:rsidR="00877E8D" w:rsidRPr="00877E8D" w:rsidRDefault="00877E8D" w:rsidP="00877E8D">
      <w:pPr>
        <w:numPr>
          <w:ilvl w:val="0"/>
          <w:numId w:val="2"/>
        </w:numPr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организацию - в размере от 3/4 до одного размера суммы расчета произведенного без применения ККТ, но не менее 30 000 руб.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некоммерческих организаций и субъектов МСП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административный штраф заменяется предупреждением, если правонарушение совершено впервые и соблюдены иные необходимые условия замены (</w:t>
      </w:r>
      <w:hyperlink r:id="rId8" w:history="1">
        <w:proofErr w:type="gramStart"/>
        <w:r w:rsidRPr="00877E8D">
          <w:rPr>
            <w:rFonts w:ascii="Arial" w:eastAsia="Times New Roman" w:hAnsi="Arial" w:cs="Arial"/>
            <w:color w:val="474747"/>
            <w:sz w:val="21"/>
            <w:u w:val="single"/>
            <w:lang w:eastAsia="ru-RU"/>
          </w:rPr>
          <w:t>ч</w:t>
        </w:r>
        <w:proofErr w:type="gramEnd"/>
        <w:r w:rsidRPr="00877E8D">
          <w:rPr>
            <w:rFonts w:ascii="Arial" w:eastAsia="Times New Roman" w:hAnsi="Arial" w:cs="Arial"/>
            <w:color w:val="474747"/>
            <w:sz w:val="21"/>
            <w:u w:val="single"/>
            <w:lang w:eastAsia="ru-RU"/>
          </w:rPr>
          <w:t>. 1 ст. 4.1.1</w:t>
        </w:r>
      </w:hyperlink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" w:history="1">
        <w:r w:rsidRPr="00877E8D">
          <w:rPr>
            <w:rFonts w:ascii="Arial" w:eastAsia="Times New Roman" w:hAnsi="Arial" w:cs="Arial"/>
            <w:color w:val="474747"/>
            <w:sz w:val="21"/>
            <w:u w:val="single"/>
            <w:lang w:eastAsia="ru-RU"/>
          </w:rPr>
          <w:t>ч. 2</w:t>
        </w:r>
      </w:hyperlink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0" w:history="1">
        <w:r w:rsidRPr="00877E8D">
          <w:rPr>
            <w:rFonts w:ascii="Arial" w:eastAsia="Times New Roman" w:hAnsi="Arial" w:cs="Arial"/>
            <w:color w:val="474747"/>
            <w:sz w:val="21"/>
            <w:u w:val="single"/>
            <w:lang w:eastAsia="ru-RU"/>
          </w:rPr>
          <w:t>3 ст. 3.4</w:t>
        </w:r>
      </w:hyperlink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КоАП</w:t>
      </w:r>
      <w:proofErr w:type="spellEnd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РФ).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Повторное нарушение (неприменение ККТ)</w:t>
      </w: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если сумма расчетов без применения ККТ </w:t>
      </w:r>
      <w:proofErr w:type="gramStart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составила</w:t>
      </w:r>
      <w:proofErr w:type="gramEnd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в совокупности 1 000 </w:t>
      </w:r>
      <w:proofErr w:type="spellStart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000</w:t>
      </w:r>
      <w:proofErr w:type="spellEnd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руб. и более, влечет (</w:t>
      </w:r>
      <w:hyperlink r:id="rId11" w:history="1">
        <w:r w:rsidRPr="00877E8D">
          <w:rPr>
            <w:rFonts w:ascii="Arial" w:eastAsia="Times New Roman" w:hAnsi="Arial" w:cs="Arial"/>
            <w:color w:val="474747"/>
            <w:sz w:val="21"/>
            <w:u w:val="single"/>
            <w:lang w:eastAsia="ru-RU"/>
          </w:rPr>
          <w:t>ч. 3 ст. 14.5</w:t>
        </w:r>
      </w:hyperlink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КоАП</w:t>
      </w:r>
      <w:proofErr w:type="spellEnd"/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РФ):</w:t>
      </w:r>
    </w:p>
    <w:p w:rsidR="00877E8D" w:rsidRPr="00877E8D" w:rsidRDefault="00877E8D" w:rsidP="00877E8D">
      <w:pPr>
        <w:numPr>
          <w:ilvl w:val="0"/>
          <w:numId w:val="3"/>
        </w:numPr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дисквалификацию должностных лиц на срок от одного года до двух лет;</w:t>
      </w:r>
    </w:p>
    <w:p w:rsidR="00877E8D" w:rsidRPr="00877E8D" w:rsidRDefault="00877E8D" w:rsidP="00877E8D">
      <w:pPr>
        <w:numPr>
          <w:ilvl w:val="0"/>
          <w:numId w:val="3"/>
        </w:numPr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административное приостановление деятельности на срок до 90 суток в отношении ИП и организаций.</w:t>
      </w:r>
    </w:p>
    <w:p w:rsidR="00877E8D" w:rsidRPr="00877E8D" w:rsidRDefault="00877E8D" w:rsidP="008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Применение ККТ, которая не соответствует установленным </w:t>
      </w:r>
      <w:hyperlink r:id="rId12" w:history="1">
        <w:r w:rsidRPr="00877E8D">
          <w:rPr>
            <w:rFonts w:ascii="Arial" w:eastAsia="Times New Roman" w:hAnsi="Arial" w:cs="Arial"/>
            <w:b/>
            <w:bCs/>
            <w:color w:val="474747"/>
            <w:sz w:val="21"/>
            <w:u w:val="single"/>
            <w:lang w:eastAsia="ru-RU"/>
          </w:rPr>
          <w:t>требованиям</w:t>
        </w:r>
      </w:hyperlink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либо применение ККТ с нарушением </w:t>
      </w:r>
      <w:hyperlink r:id="rId13" w:history="1">
        <w:r w:rsidRPr="00877E8D">
          <w:rPr>
            <w:rFonts w:ascii="Arial" w:eastAsia="Times New Roman" w:hAnsi="Arial" w:cs="Arial"/>
            <w:b/>
            <w:bCs/>
            <w:color w:val="474747"/>
            <w:sz w:val="21"/>
            <w:u w:val="single"/>
            <w:lang w:eastAsia="ru-RU"/>
          </w:rPr>
          <w:t>порядка</w:t>
        </w:r>
      </w:hyperlink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ее регистрации, сроков и условий перерегистрации, а также </w:t>
      </w:r>
      <w:hyperlink r:id="rId14" w:history="1">
        <w:r w:rsidRPr="00877E8D">
          <w:rPr>
            <w:rFonts w:ascii="Arial" w:eastAsia="Times New Roman" w:hAnsi="Arial" w:cs="Arial"/>
            <w:b/>
            <w:bCs/>
            <w:color w:val="474747"/>
            <w:sz w:val="21"/>
            <w:u w:val="single"/>
            <w:lang w:eastAsia="ru-RU"/>
          </w:rPr>
          <w:t>порядка</w:t>
        </w:r>
      </w:hyperlink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и условий ее применения влечет (</w:t>
      </w:r>
      <w:hyperlink r:id="rId15" w:history="1">
        <w:proofErr w:type="gramStart"/>
        <w:r w:rsidRPr="00877E8D">
          <w:rPr>
            <w:rFonts w:ascii="Arial" w:eastAsia="Times New Roman" w:hAnsi="Arial" w:cs="Arial"/>
            <w:b/>
            <w:bCs/>
            <w:color w:val="474747"/>
            <w:sz w:val="21"/>
            <w:u w:val="single"/>
            <w:lang w:eastAsia="ru-RU"/>
          </w:rPr>
          <w:t>ч</w:t>
        </w:r>
        <w:proofErr w:type="gramEnd"/>
        <w:r w:rsidRPr="00877E8D">
          <w:rPr>
            <w:rFonts w:ascii="Arial" w:eastAsia="Times New Roman" w:hAnsi="Arial" w:cs="Arial"/>
            <w:b/>
            <w:bCs/>
            <w:color w:val="474747"/>
            <w:sz w:val="21"/>
            <w:u w:val="single"/>
            <w:lang w:eastAsia="ru-RU"/>
          </w:rPr>
          <w:t>. 4 ст. 14.5</w:t>
        </w:r>
      </w:hyperlink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proofErr w:type="spellStart"/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КоАП</w:t>
      </w:r>
      <w:proofErr w:type="spellEnd"/>
      <w:r w:rsidRPr="00877E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РФ):</w:t>
      </w:r>
    </w:p>
    <w:p w:rsidR="00877E8D" w:rsidRPr="00877E8D" w:rsidRDefault="00877E8D" w:rsidP="00877E8D">
      <w:pPr>
        <w:numPr>
          <w:ilvl w:val="0"/>
          <w:numId w:val="4"/>
        </w:numPr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должностных лиц </w:t>
      </w:r>
      <w:hyperlink r:id="rId16" w:history="1">
        <w:r w:rsidRPr="00877E8D">
          <w:rPr>
            <w:rFonts w:ascii="Arial" w:eastAsia="Times New Roman" w:hAnsi="Arial" w:cs="Arial"/>
            <w:color w:val="474747"/>
            <w:sz w:val="21"/>
            <w:lang w:eastAsia="ru-RU"/>
          </w:rPr>
          <w:t>(ИП)</w:t>
        </w:r>
      </w:hyperlink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предупреждение или административный штраф в размере от 1 500 руб. до 3 000 руб.;</w:t>
      </w:r>
    </w:p>
    <w:p w:rsidR="00877E8D" w:rsidRPr="00877E8D" w:rsidRDefault="00877E8D" w:rsidP="00877E8D">
      <w:pPr>
        <w:numPr>
          <w:ilvl w:val="0"/>
          <w:numId w:val="4"/>
        </w:numPr>
        <w:spacing w:before="15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E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организаций - предупреждение или административный штраф в размере от 5 000 руб. до 10 000 руб.</w:t>
      </w:r>
    </w:p>
    <w:p w:rsidR="00EA6026" w:rsidRDefault="00EA6026"/>
    <w:p w:rsidR="00877E8D" w:rsidRDefault="00877E8D"/>
    <w:p w:rsidR="00877E8D" w:rsidRDefault="00877E8D"/>
    <w:p w:rsidR="00877E8D" w:rsidRDefault="00877E8D"/>
    <w:sectPr w:rsidR="00877E8D" w:rsidSect="00EA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107B"/>
    <w:multiLevelType w:val="multilevel"/>
    <w:tmpl w:val="E7B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05B7A"/>
    <w:multiLevelType w:val="multilevel"/>
    <w:tmpl w:val="3BF4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242BF"/>
    <w:multiLevelType w:val="multilevel"/>
    <w:tmpl w:val="D32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0218F"/>
    <w:multiLevelType w:val="multilevel"/>
    <w:tmpl w:val="936C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8D"/>
    <w:rsid w:val="00877E8D"/>
    <w:rsid w:val="00EA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E8D"/>
    <w:rPr>
      <w:b/>
      <w:bCs/>
    </w:rPr>
  </w:style>
  <w:style w:type="character" w:styleId="a5">
    <w:name w:val="Hyperlink"/>
    <w:basedOn w:val="a0"/>
    <w:uiPriority w:val="99"/>
    <w:semiHidden/>
    <w:unhideWhenUsed/>
    <w:rsid w:val="00877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0448A2BFDAC5F74AAA05A6BB40660DAA94441C656A9B16455987FFD4FCEC10BC20971668A702D37C7011734C7F72FFB8059F5CDBF28WAG" TargetMode="External"/><Relationship Id="rId13" Type="http://schemas.openxmlformats.org/officeDocument/2006/relationships/hyperlink" Target="consultantplus://offline/ref=E121FA0E938DF7EAE6387E4AC93874917F6A44FD8228C4890E73EA77A99ED4F9C14938D414EFC15D0AB40E20CE872EC7C446BBD884E9Y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0448A2BFDAC5F74AAA05A6BB40660DAA94441C656A9B16455987FFD4FCEC10BC2097F6E80702D37C7011734C7F72FFB8059F5CDBF28WAG" TargetMode="External"/><Relationship Id="rId12" Type="http://schemas.openxmlformats.org/officeDocument/2006/relationships/hyperlink" Target="consultantplus://offline/ref=E121FA0E938DF7EAE6387E4AC93874917F6A44FD8228C4890E73EA77A99ED4F9C14938D41CE1C15D0AB40E20CE872EC7C446BBD884E9Y0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21FA0E938DF7EAE6387E4AC93874917F6B4FF8882DC4890E73EA77A99ED4F9C14938D115EACA020FA11F78C18431D9C559A7DA8693E8Y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F0448A2BFDAC5F74AAA05A6BB40660DAA94441C656A9B16455987FFD4FCEC10BC2097F658A782D37C7011734C7F72FFB8059F5CDBF28WAG" TargetMode="External"/><Relationship Id="rId11" Type="http://schemas.openxmlformats.org/officeDocument/2006/relationships/hyperlink" Target="consultantplus://offline/ref=96F0448A2BFDAC5F74AAA05A6BB40660DAA94441C656A9B16455987FFD4FCEC10BC2097F658B702D37C7011734C7F72FFB8059F5CDBF28WAG" TargetMode="External"/><Relationship Id="rId5" Type="http://schemas.openxmlformats.org/officeDocument/2006/relationships/hyperlink" Target="consultantplus://offline/ref=96F0448A2BFDAC5F74AAA05A6BB40660DAA84F44CC53A9B16455987FFD4FCEC10BC209716E89247727C3484038DBF630E58347F52CWCG" TargetMode="External"/><Relationship Id="rId15" Type="http://schemas.openxmlformats.org/officeDocument/2006/relationships/hyperlink" Target="consultantplus://offline/ref=E121FA0E938DF7EAE6387E4AC93874917F6B4FF8882DC4890E73EA77A99ED4F9C14938D11EE1C8020FA11F78C18431D9C559A7DA8693E8Y7G" TargetMode="External"/><Relationship Id="rId10" Type="http://schemas.openxmlformats.org/officeDocument/2006/relationships/hyperlink" Target="consultantplus://offline/ref=96F0448A2BFDAC5F74AAA05A6BB40660DAA94441C656A9B16455987FFD4FCEC10BC209716685792D37C7011734C7F72FFB8059F5CDBF28W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0448A2BFDAC5F74AAA05A6BB40660DAA94441C656A9B16455987FFD4FCEC10BC2097A6685792D37C7011734C7F72FFB8059F5CDBF28WAG" TargetMode="External"/><Relationship Id="rId14" Type="http://schemas.openxmlformats.org/officeDocument/2006/relationships/hyperlink" Target="consultantplus://offline/ref=E121FA0E938DF7EAE6387E4AC93874917F6A44FD8228C4890E73EA77A99ED4F9C14938D51FECC15D0AB40E20CE872EC7C446BBD884E9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2021-11-25T07:23:00Z</dcterms:created>
  <dcterms:modified xsi:type="dcterms:W3CDTF">2021-11-25T07:23:00Z</dcterms:modified>
</cp:coreProperties>
</file>